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w w:val="105"/>
          <w:lang w:val="cs-CZ"/>
        </w:rPr>
      </w:pPr>
      <w:r w:rsidRPr="002C4B9D">
        <w:rPr>
          <w:rFonts w:ascii="Times New Roman" w:hAnsi="Times New Roman" w:cs="Times New Roman"/>
          <w:b/>
          <w:bCs/>
          <w:spacing w:val="4"/>
          <w:sz w:val="28"/>
          <w:szCs w:val="28"/>
          <w:lang w:val="cs-CZ"/>
        </w:rPr>
        <w:t xml:space="preserve">Smlouva o poskytnutí dotace </w:t>
      </w:r>
      <w:r w:rsidRPr="0076212E">
        <w:rPr>
          <w:rFonts w:ascii="Times New Roman" w:hAnsi="Times New Roman" w:cs="Times New Roman"/>
          <w:b/>
          <w:bCs/>
          <w:spacing w:val="4"/>
          <w:lang w:val="cs-CZ"/>
        </w:rPr>
        <w:br/>
      </w:r>
      <w:r w:rsidRPr="0076212E">
        <w:rPr>
          <w:rFonts w:ascii="Times New Roman" w:hAnsi="Times New Roman" w:cs="Times New Roman"/>
          <w:w w:val="105"/>
          <w:lang w:val="cs-CZ"/>
        </w:rPr>
        <w:t xml:space="preserve">Uzavřená dle §10a zákona č.250/2000Sb., o rozpočtových pravidlech územních rozpočtů, ve </w:t>
      </w:r>
      <w:r w:rsidRPr="0076212E">
        <w:rPr>
          <w:rFonts w:ascii="Times New Roman" w:hAnsi="Times New Roman" w:cs="Times New Roman"/>
          <w:w w:val="105"/>
          <w:lang w:val="cs-CZ"/>
        </w:rPr>
        <w:br/>
        <w:t>znění pozdějších předpisů a dle §159 a násl.</w:t>
      </w:r>
      <w:r>
        <w:rPr>
          <w:rFonts w:ascii="Times New Roman" w:hAnsi="Times New Roman" w:cs="Times New Roman"/>
          <w:w w:val="105"/>
          <w:lang w:val="cs-CZ"/>
        </w:rPr>
        <w:t xml:space="preserve"> </w:t>
      </w:r>
      <w:r w:rsidRPr="0076212E">
        <w:rPr>
          <w:rFonts w:ascii="Times New Roman" w:hAnsi="Times New Roman" w:cs="Times New Roman"/>
          <w:w w:val="105"/>
          <w:lang w:val="cs-CZ"/>
        </w:rPr>
        <w:t xml:space="preserve">zákona č. 500/2004Sb., správní řád, ve znění </w:t>
      </w:r>
      <w:r w:rsidRPr="0076212E">
        <w:rPr>
          <w:rFonts w:ascii="Times New Roman" w:hAnsi="Times New Roman" w:cs="Times New Roman"/>
          <w:w w:val="105"/>
          <w:lang w:val="cs-CZ"/>
        </w:rPr>
        <w:br/>
        <w:t>pozdějších předpisů</w:t>
      </w: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spacing w:val="4"/>
          <w:lang w:val="cs-CZ"/>
        </w:rPr>
      </w:pP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b/>
          <w:bCs/>
          <w:w w:val="105"/>
          <w:lang w:val="cs-CZ"/>
        </w:rPr>
      </w:pPr>
      <w:r w:rsidRPr="0076212E">
        <w:rPr>
          <w:rFonts w:ascii="Times New Roman" w:hAnsi="Times New Roman" w:cs="Times New Roman"/>
          <w:b/>
          <w:bCs/>
          <w:w w:val="105"/>
          <w:lang w:val="cs-CZ"/>
        </w:rPr>
        <w:t xml:space="preserve">Svazek obcí </w:t>
      </w:r>
      <w:r w:rsidRPr="0076212E">
        <w:rPr>
          <w:rFonts w:ascii="Times New Roman" w:hAnsi="Times New Roman" w:cs="Times New Roman"/>
          <w:w w:val="105"/>
          <w:lang w:val="cs-CZ"/>
        </w:rPr>
        <w:t xml:space="preserve">- </w:t>
      </w:r>
      <w:r w:rsidRPr="0076212E">
        <w:rPr>
          <w:rFonts w:ascii="Times New Roman" w:hAnsi="Times New Roman" w:cs="Times New Roman"/>
          <w:b/>
          <w:bCs/>
          <w:w w:val="105"/>
          <w:lang w:val="cs-CZ"/>
        </w:rPr>
        <w:t>Region Dolní Berounka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Zastoupen: Vladimírem Kabátem, předsedou svazku </w:t>
      </w:r>
      <w:r w:rsidRPr="0076212E">
        <w:rPr>
          <w:rFonts w:ascii="Times New Roman" w:hAnsi="Times New Roman" w:cs="Times New Roman"/>
          <w:spacing w:val="-28"/>
          <w:w w:val="105"/>
          <w:lang w:val="cs-CZ"/>
        </w:rPr>
        <w:t>Sídlo:</w:t>
      </w:r>
      <w:r w:rsidRPr="0076212E">
        <w:rPr>
          <w:rFonts w:ascii="Times New Roman" w:hAnsi="Times New Roman" w:cs="Times New Roman"/>
          <w:spacing w:val="-28"/>
          <w:w w:val="105"/>
          <w:lang w:val="cs-CZ"/>
        </w:rPr>
        <w:tab/>
      </w:r>
      <w:r w:rsidRPr="0076212E">
        <w:rPr>
          <w:rFonts w:ascii="Times New Roman" w:hAnsi="Times New Roman" w:cs="Times New Roman"/>
          <w:w w:val="105"/>
          <w:lang w:val="cs-CZ"/>
        </w:rPr>
        <w:t>Městys Karlštejn,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6"/>
          <w:w w:val="105"/>
          <w:lang w:val="cs-CZ"/>
        </w:rPr>
      </w:pPr>
      <w:r w:rsidRPr="0076212E">
        <w:rPr>
          <w:rFonts w:ascii="Times New Roman" w:hAnsi="Times New Roman" w:cs="Times New Roman"/>
          <w:spacing w:val="-6"/>
          <w:w w:val="105"/>
          <w:lang w:val="cs-CZ"/>
        </w:rPr>
        <w:t>Karlštejn 185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>267 18 Karlštejn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10"/>
          <w:w w:val="105"/>
          <w:lang w:val="cs-CZ"/>
        </w:rPr>
      </w:pPr>
      <w:r w:rsidRPr="0076212E">
        <w:rPr>
          <w:rFonts w:ascii="Times New Roman" w:hAnsi="Times New Roman" w:cs="Times New Roman"/>
          <w:spacing w:val="-10"/>
          <w:w w:val="105"/>
          <w:lang w:val="cs-CZ"/>
        </w:rPr>
        <w:t>IČO:</w:t>
      </w:r>
      <w:r w:rsidRPr="0076212E">
        <w:rPr>
          <w:rFonts w:ascii="Times New Roman" w:hAnsi="Times New Roman" w:cs="Times New Roman"/>
          <w:spacing w:val="-10"/>
          <w:w w:val="105"/>
          <w:lang w:val="cs-CZ"/>
        </w:rPr>
        <w:tab/>
      </w:r>
      <w:r w:rsidRPr="0076212E">
        <w:rPr>
          <w:rFonts w:ascii="Times New Roman" w:hAnsi="Times New Roman" w:cs="Times New Roman"/>
          <w:w w:val="105"/>
          <w:lang w:val="cs-CZ"/>
        </w:rPr>
        <w:t>705 66 984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8"/>
          <w:w w:val="105"/>
          <w:lang w:val="cs-CZ"/>
        </w:rPr>
      </w:pPr>
      <w:r w:rsidRPr="0076212E">
        <w:rPr>
          <w:rFonts w:ascii="Times New Roman" w:hAnsi="Times New Roman" w:cs="Times New Roman"/>
          <w:spacing w:val="-8"/>
          <w:w w:val="105"/>
          <w:lang w:val="cs-CZ"/>
        </w:rPr>
        <w:t>č.účtu:</w:t>
      </w:r>
      <w:r w:rsidRPr="0076212E">
        <w:rPr>
          <w:rFonts w:ascii="Times New Roman" w:hAnsi="Times New Roman" w:cs="Times New Roman"/>
          <w:spacing w:val="-8"/>
          <w:w w:val="105"/>
          <w:lang w:val="cs-CZ"/>
        </w:rPr>
        <w:tab/>
      </w:r>
      <w:r w:rsidRPr="0076212E">
        <w:rPr>
          <w:rFonts w:ascii="Times New Roman" w:hAnsi="Times New Roman" w:cs="Times New Roman"/>
          <w:spacing w:val="-6"/>
          <w:w w:val="105"/>
          <w:lang w:val="cs-CZ"/>
        </w:rPr>
        <w:t>388949369/0800</w:t>
      </w:r>
    </w:p>
    <w:p w:rsidR="009712C0" w:rsidRDefault="009712C0" w:rsidP="0076212E">
      <w:pPr>
        <w:pStyle w:val="NoSpacing"/>
        <w:rPr>
          <w:rFonts w:ascii="Times New Roman" w:hAnsi="Times New Roman" w:cs="Times New Roman"/>
          <w:b/>
          <w:bCs/>
          <w:spacing w:val="-6"/>
          <w:w w:val="105"/>
          <w:lang w:val="cs-CZ"/>
        </w:rPr>
      </w:pPr>
      <w:r w:rsidRPr="0076212E">
        <w:rPr>
          <w:rFonts w:ascii="Times New Roman" w:hAnsi="Times New Roman" w:cs="Times New Roman"/>
          <w:spacing w:val="-6"/>
          <w:w w:val="105"/>
          <w:lang w:val="cs-CZ"/>
        </w:rPr>
        <w:t xml:space="preserve">na straně jedné (dále jen </w:t>
      </w:r>
      <w:r w:rsidRPr="0076212E">
        <w:rPr>
          <w:rFonts w:ascii="Times New Roman" w:hAnsi="Times New Roman" w:cs="Times New Roman"/>
          <w:b/>
          <w:bCs/>
          <w:spacing w:val="-6"/>
          <w:w w:val="105"/>
          <w:lang w:val="cs-CZ"/>
        </w:rPr>
        <w:t xml:space="preserve">„Poskytovatel") 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</w:p>
    <w:p w:rsidR="009712C0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>a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b/>
          <w:bCs/>
          <w:w w:val="105"/>
          <w:lang w:val="cs-CZ"/>
        </w:rPr>
      </w:pPr>
      <w:r w:rsidRPr="0076212E">
        <w:rPr>
          <w:rFonts w:ascii="Times New Roman" w:hAnsi="Times New Roman" w:cs="Times New Roman"/>
          <w:b/>
          <w:bCs/>
          <w:w w:val="105"/>
          <w:lang w:val="cs-CZ"/>
        </w:rPr>
        <w:t>Svatá Ludmila 1100 let, z.s.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Zastoupen: Ing. Martinem Hrdličkou, předsedou spolku Mgr. Petrem Bouškou, členem rady spolku </w:t>
      </w:r>
      <w:r w:rsidRPr="0076212E">
        <w:rPr>
          <w:rFonts w:ascii="Times New Roman" w:hAnsi="Times New Roman" w:cs="Times New Roman"/>
          <w:spacing w:val="-18"/>
          <w:w w:val="105"/>
          <w:lang w:val="cs-CZ"/>
        </w:rPr>
        <w:t>Sídlo:</w:t>
      </w:r>
      <w:r w:rsidRPr="0076212E">
        <w:rPr>
          <w:rFonts w:ascii="Times New Roman" w:hAnsi="Times New Roman" w:cs="Times New Roman"/>
          <w:spacing w:val="-18"/>
          <w:w w:val="105"/>
          <w:lang w:val="cs-CZ"/>
        </w:rPr>
        <w:tab/>
      </w:r>
      <w:r w:rsidRPr="0076212E">
        <w:rPr>
          <w:rFonts w:ascii="Times New Roman" w:hAnsi="Times New Roman" w:cs="Times New Roman"/>
          <w:spacing w:val="-6"/>
          <w:w w:val="105"/>
          <w:lang w:val="cs-CZ"/>
        </w:rPr>
        <w:t>Za Lužinami 1084/33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8"/>
          <w:w w:val="105"/>
          <w:lang w:val="cs-CZ"/>
        </w:rPr>
      </w:pPr>
      <w:r w:rsidRPr="0076212E">
        <w:rPr>
          <w:rFonts w:ascii="Times New Roman" w:hAnsi="Times New Roman" w:cs="Times New Roman"/>
          <w:spacing w:val="-8"/>
          <w:w w:val="105"/>
          <w:lang w:val="cs-CZ"/>
        </w:rPr>
        <w:t>155 00 Praha 5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12"/>
          <w:w w:val="105"/>
          <w:lang w:val="cs-CZ"/>
        </w:rPr>
      </w:pPr>
      <w:r w:rsidRPr="0076212E">
        <w:rPr>
          <w:rFonts w:ascii="Times New Roman" w:hAnsi="Times New Roman" w:cs="Times New Roman"/>
          <w:spacing w:val="-12"/>
          <w:w w:val="105"/>
          <w:lang w:val="cs-CZ"/>
        </w:rPr>
        <w:t>IČO:</w:t>
      </w:r>
      <w:r w:rsidRPr="0076212E">
        <w:rPr>
          <w:rFonts w:ascii="Times New Roman" w:hAnsi="Times New Roman" w:cs="Times New Roman"/>
          <w:spacing w:val="-12"/>
          <w:w w:val="105"/>
          <w:lang w:val="cs-CZ"/>
        </w:rPr>
        <w:tab/>
      </w:r>
      <w:r w:rsidRPr="0076212E">
        <w:rPr>
          <w:rFonts w:ascii="Times New Roman" w:hAnsi="Times New Roman" w:cs="Times New Roman"/>
          <w:w w:val="105"/>
          <w:lang w:val="cs-CZ"/>
        </w:rPr>
        <w:t>04924479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8"/>
          <w:w w:val="105"/>
          <w:lang w:val="cs-CZ"/>
        </w:rPr>
      </w:pPr>
      <w:r w:rsidRPr="0076212E">
        <w:rPr>
          <w:rFonts w:ascii="Times New Roman" w:hAnsi="Times New Roman" w:cs="Times New Roman"/>
          <w:spacing w:val="-8"/>
          <w:w w:val="105"/>
          <w:lang w:val="cs-CZ"/>
        </w:rPr>
        <w:t>Č.účtu:</w:t>
      </w:r>
      <w:r w:rsidRPr="0076212E">
        <w:rPr>
          <w:rFonts w:ascii="Times New Roman" w:hAnsi="Times New Roman" w:cs="Times New Roman"/>
          <w:spacing w:val="-8"/>
          <w:w w:val="105"/>
          <w:lang w:val="cs-CZ"/>
        </w:rPr>
        <w:tab/>
      </w:r>
      <w:r w:rsidRPr="0076212E">
        <w:rPr>
          <w:rFonts w:ascii="Times New Roman" w:hAnsi="Times New Roman" w:cs="Times New Roman"/>
          <w:spacing w:val="-6"/>
          <w:w w:val="105"/>
          <w:lang w:val="cs-CZ"/>
        </w:rPr>
        <w:t>115-2243000207/0100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Na straně druhé (dál je </w:t>
      </w:r>
      <w:r w:rsidRPr="0076212E">
        <w:rPr>
          <w:rFonts w:ascii="Times New Roman" w:hAnsi="Times New Roman" w:cs="Times New Roman"/>
          <w:b/>
          <w:bCs/>
          <w:w w:val="105"/>
          <w:lang w:val="cs-CZ"/>
        </w:rPr>
        <w:t>„Příjemce")</w:t>
      </w:r>
    </w:p>
    <w:p w:rsidR="009712C0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>Uzavírají tuto</w:t>
      </w: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cs-CZ"/>
        </w:rPr>
      </w:pPr>
      <w:r w:rsidRPr="0076212E">
        <w:rPr>
          <w:rFonts w:ascii="Times New Roman" w:hAnsi="Times New Roman" w:cs="Times New Roman"/>
          <w:b/>
          <w:bCs/>
          <w:spacing w:val="4"/>
          <w:sz w:val="28"/>
          <w:szCs w:val="28"/>
          <w:lang w:val="cs-CZ"/>
        </w:rPr>
        <w:t>Smlouvu o poskytnutí dotace</w:t>
      </w:r>
    </w:p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  <w:t xml:space="preserve">I. </w:t>
      </w:r>
      <w:r w:rsidRPr="0076212E"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  <w:br/>
      </w:r>
      <w:r w:rsidRPr="0076212E">
        <w:rPr>
          <w:rFonts w:ascii="Times New Roman" w:hAnsi="Times New Roman" w:cs="Times New Roman"/>
          <w:b/>
          <w:bCs/>
          <w:spacing w:val="-6"/>
          <w:w w:val="105"/>
          <w:sz w:val="24"/>
          <w:szCs w:val="24"/>
          <w:lang w:val="cs-CZ"/>
        </w:rPr>
        <w:t>Předmět smlouvy</w:t>
      </w:r>
    </w:p>
    <w:p w:rsidR="009712C0" w:rsidRPr="0076212E" w:rsidRDefault="009712C0" w:rsidP="0076212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9"/>
          <w:w w:val="105"/>
          <w:lang w:val="cs-CZ"/>
        </w:rPr>
      </w:pPr>
      <w:r w:rsidRPr="0076212E">
        <w:rPr>
          <w:rFonts w:ascii="Times New Roman" w:hAnsi="Times New Roman" w:cs="Times New Roman"/>
          <w:spacing w:val="-9"/>
          <w:w w:val="105"/>
          <w:lang w:val="cs-CZ"/>
        </w:rPr>
        <w:t xml:space="preserve">Příjemce konstatuje, že je organizátorem akce Projekt Svatá Ludmila 1100, která se koná </w:t>
      </w:r>
      <w:r w:rsidRPr="0076212E">
        <w:rPr>
          <w:rFonts w:ascii="Times New Roman" w:hAnsi="Times New Roman" w:cs="Times New Roman"/>
          <w:w w:val="105"/>
          <w:lang w:val="cs-CZ"/>
        </w:rPr>
        <w:t>souvisle od roku 2015 do roku 2021 (dále jen „akce").</w:t>
      </w:r>
    </w:p>
    <w:p w:rsidR="009712C0" w:rsidRPr="0076212E" w:rsidRDefault="009712C0" w:rsidP="0076212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0"/>
          <w:w w:val="105"/>
          <w:lang w:val="cs-CZ"/>
        </w:rPr>
      </w:pPr>
      <w:r w:rsidRPr="0076212E">
        <w:rPr>
          <w:rFonts w:ascii="Times New Roman" w:hAnsi="Times New Roman" w:cs="Times New Roman"/>
          <w:spacing w:val="-10"/>
          <w:w w:val="105"/>
          <w:lang w:val="cs-CZ"/>
        </w:rPr>
        <w:t xml:space="preserve">Předmětem této smlouvy je poskytnutí dotace Poskytovatelem Příjemci a stanovení </w:t>
      </w:r>
      <w:r w:rsidRPr="0076212E">
        <w:rPr>
          <w:rFonts w:ascii="Times New Roman" w:hAnsi="Times New Roman" w:cs="Times New Roman"/>
          <w:w w:val="105"/>
          <w:lang w:val="cs-CZ"/>
        </w:rPr>
        <w:t>podmínek jejího využití.</w:t>
      </w:r>
    </w:p>
    <w:p w:rsidR="009712C0" w:rsidRPr="0076212E" w:rsidRDefault="009712C0" w:rsidP="0076212E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6"/>
          <w:w w:val="105"/>
          <w:lang w:val="cs-CZ"/>
        </w:rPr>
      </w:pPr>
      <w:r w:rsidRPr="0076212E">
        <w:rPr>
          <w:rFonts w:ascii="Times New Roman" w:hAnsi="Times New Roman" w:cs="Times New Roman"/>
          <w:spacing w:val="-6"/>
          <w:w w:val="105"/>
          <w:lang w:val="cs-CZ"/>
        </w:rPr>
        <w:t>Dotace dle této smlouvy je poskytována za účelem organizace akce Projekt Svatá Ludmila 1100 pro dílčí rok projektu 2018, stanoveného účelu bude dosaženo nejpozději 31.12.2018.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spacing w:val="-6"/>
          <w:w w:val="105"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w w:val="105"/>
          <w:sz w:val="24"/>
          <w:szCs w:val="24"/>
          <w:lang w:val="cs-CZ"/>
        </w:rPr>
        <w:t>II.</w:t>
      </w: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w w:val="105"/>
          <w:sz w:val="24"/>
          <w:szCs w:val="24"/>
          <w:lang w:val="cs-CZ"/>
        </w:rPr>
        <w:t>Dotace</w:t>
      </w:r>
    </w:p>
    <w:p w:rsidR="009712C0" w:rsidRPr="0076212E" w:rsidRDefault="009712C0" w:rsidP="0076212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pacing w:val="-2"/>
          <w:w w:val="105"/>
          <w:lang w:val="cs-CZ"/>
        </w:rPr>
      </w:pPr>
      <w:r w:rsidRPr="0076212E">
        <w:rPr>
          <w:rFonts w:ascii="Times New Roman" w:hAnsi="Times New Roman" w:cs="Times New Roman"/>
          <w:spacing w:val="-2"/>
          <w:w w:val="105"/>
          <w:lang w:val="cs-CZ"/>
        </w:rPr>
        <w:t>Poskytovatel poskytne Příjemci jednorázovou dotaci ve výši 60.000,-Kč (dále jen „dotace").</w:t>
      </w:r>
    </w:p>
    <w:p w:rsidR="009712C0" w:rsidRPr="0076212E" w:rsidRDefault="009712C0" w:rsidP="0076212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pacing w:val="-6"/>
          <w:w w:val="105"/>
          <w:lang w:val="cs-CZ"/>
        </w:rPr>
      </w:pPr>
      <w:r w:rsidRPr="0076212E">
        <w:rPr>
          <w:rFonts w:ascii="Times New Roman" w:hAnsi="Times New Roman" w:cs="Times New Roman"/>
          <w:spacing w:val="-6"/>
          <w:w w:val="105"/>
          <w:lang w:val="cs-CZ"/>
        </w:rPr>
        <w:t xml:space="preserve">Dotace bude Poskytovatelem poskytnuta převodem na účet Příjemce uvedený v záhlaví této </w:t>
      </w:r>
      <w:r w:rsidRPr="0076212E">
        <w:rPr>
          <w:rFonts w:ascii="Times New Roman" w:hAnsi="Times New Roman" w:cs="Times New Roman"/>
          <w:w w:val="105"/>
          <w:lang w:val="cs-CZ"/>
        </w:rPr>
        <w:t>smlouvy nejpozději do deseti dnů ode dne podpisu této smlouvy poslední ze smluvních stran.</w:t>
      </w:r>
    </w:p>
    <w:p w:rsidR="009712C0" w:rsidRPr="0076212E" w:rsidRDefault="009712C0" w:rsidP="0076212E">
      <w:pPr>
        <w:pStyle w:val="NoSpacing"/>
        <w:rPr>
          <w:rFonts w:ascii="Times New Roman" w:hAnsi="Times New Roman" w:cs="Times New Roman"/>
          <w:w w:val="125"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  <w:t xml:space="preserve">III. </w:t>
      </w:r>
      <w:r w:rsidRPr="0076212E">
        <w:rPr>
          <w:rFonts w:ascii="Times New Roman" w:hAnsi="Times New Roman" w:cs="Times New Roman"/>
          <w:b/>
          <w:bCs/>
          <w:w w:val="125"/>
          <w:sz w:val="24"/>
          <w:szCs w:val="24"/>
          <w:lang w:val="cs-CZ"/>
        </w:rPr>
        <w:br/>
      </w: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t>Povinnosti Příjemce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-1"/>
          <w:w w:val="105"/>
          <w:lang w:val="cs-CZ"/>
        </w:rPr>
      </w:pPr>
      <w:r w:rsidRPr="0076212E">
        <w:rPr>
          <w:rFonts w:ascii="Times New Roman" w:hAnsi="Times New Roman" w:cs="Times New Roman"/>
          <w:spacing w:val="-1"/>
          <w:w w:val="105"/>
          <w:lang w:val="cs-CZ"/>
        </w:rPr>
        <w:t>Příjemce je oprávněn dotaci použít pouze k účelu uvedenému v této smlouvě.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-2"/>
          <w:w w:val="105"/>
          <w:lang w:val="cs-CZ"/>
        </w:rPr>
      </w:pPr>
      <w:r w:rsidRPr="0076212E">
        <w:rPr>
          <w:rFonts w:ascii="Times New Roman" w:hAnsi="Times New Roman" w:cs="Times New Roman"/>
          <w:spacing w:val="-2"/>
          <w:w w:val="105"/>
          <w:lang w:val="cs-CZ"/>
        </w:rPr>
        <w:t xml:space="preserve">V případě, že Příjemce nespotřebuje celou výši poskytnuté dotace na stanovený účel, je </w:t>
      </w:r>
      <w:r w:rsidRPr="0076212E">
        <w:rPr>
          <w:rFonts w:ascii="Times New Roman" w:hAnsi="Times New Roman" w:cs="Times New Roman"/>
          <w:w w:val="105"/>
          <w:lang w:val="cs-CZ"/>
        </w:rPr>
        <w:t xml:space="preserve">povinen zbývající část dotace vrátit, a to bez zbytečného odkladu poté, co zjistí skutečnou </w:t>
      </w:r>
      <w:r w:rsidRPr="0076212E">
        <w:rPr>
          <w:rFonts w:ascii="Times New Roman" w:hAnsi="Times New Roman" w:cs="Times New Roman"/>
          <w:spacing w:val="-2"/>
          <w:w w:val="105"/>
          <w:lang w:val="cs-CZ"/>
        </w:rPr>
        <w:t xml:space="preserve">potřebu dotace, nejpozději však do dne předložení vyúčtování dle čl. IV. této smlouvy, a to </w:t>
      </w:r>
      <w:r w:rsidRPr="0076212E">
        <w:rPr>
          <w:rFonts w:ascii="Times New Roman" w:hAnsi="Times New Roman" w:cs="Times New Roman"/>
          <w:w w:val="105"/>
          <w:lang w:val="cs-CZ"/>
        </w:rPr>
        <w:t>na účet Poskytovatele, uvedený v záhlaví této smlouvy.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Příjemce se zavazuje vést o čerpání dotace průkaznou účetní evidenci tak, aby byla dotace a nakládání s ní jednoznačně oddělena od ostatního majetku Příjemce. Příjemce je rovněž povinen umožnit Poskytovateli nahlížet do části účetnictví týkající se poskytnuté dotace a </w:t>
      </w:r>
      <w:r w:rsidRPr="0076212E">
        <w:rPr>
          <w:rFonts w:ascii="Times New Roman" w:hAnsi="Times New Roman" w:cs="Times New Roman"/>
          <w:spacing w:val="-6"/>
          <w:w w:val="105"/>
          <w:lang w:val="cs-CZ"/>
        </w:rPr>
        <w:t xml:space="preserve">zavazuje se uchovávat účetní evidenci dotace po dobu 5 let po uplynutí lhůty dle čl.IV. této </w:t>
      </w:r>
      <w:r w:rsidRPr="0076212E">
        <w:rPr>
          <w:rFonts w:ascii="Times New Roman" w:hAnsi="Times New Roman" w:cs="Times New Roman"/>
          <w:w w:val="105"/>
          <w:lang w:val="cs-CZ"/>
        </w:rPr>
        <w:t>smlouvy.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-5"/>
          <w:w w:val="105"/>
          <w:lang w:val="cs-CZ"/>
        </w:rPr>
      </w:pPr>
      <w:r w:rsidRPr="0076212E">
        <w:rPr>
          <w:rFonts w:ascii="Times New Roman" w:hAnsi="Times New Roman" w:cs="Times New Roman"/>
          <w:spacing w:val="-5"/>
          <w:w w:val="105"/>
          <w:lang w:val="cs-CZ"/>
        </w:rPr>
        <w:t xml:space="preserve">Příjemce je povinen kdykoliv na žádost Poskytovatele sdělit mu veškeré požadované údaje </w:t>
      </w:r>
      <w:r w:rsidRPr="0076212E">
        <w:rPr>
          <w:rFonts w:ascii="Times New Roman" w:hAnsi="Times New Roman" w:cs="Times New Roman"/>
          <w:w w:val="105"/>
          <w:lang w:val="cs-CZ"/>
        </w:rPr>
        <w:t>týkající se poskytnuté dotace, účelu dotace a další informace s poskytnutím a použitím dotace související.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-1"/>
          <w:w w:val="105"/>
          <w:lang w:val="cs-CZ"/>
        </w:rPr>
      </w:pPr>
      <w:r w:rsidRPr="0076212E">
        <w:rPr>
          <w:rFonts w:ascii="Times New Roman" w:hAnsi="Times New Roman" w:cs="Times New Roman"/>
          <w:spacing w:val="-1"/>
          <w:w w:val="105"/>
          <w:lang w:val="cs-CZ"/>
        </w:rPr>
        <w:t xml:space="preserve">Příjemce je povinen oznámit Poskytovateli jakoukoliv okolnost, která může mít vliv na </w:t>
      </w:r>
      <w:r w:rsidRPr="0076212E">
        <w:rPr>
          <w:rFonts w:ascii="Times New Roman" w:hAnsi="Times New Roman" w:cs="Times New Roman"/>
          <w:w w:val="105"/>
          <w:lang w:val="cs-CZ"/>
        </w:rPr>
        <w:t>čerpání či použití dotace, nebo která se týká statusu příjemce dotace.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Příjemce je povinen do 10drrů oznámit Poskytovateli zahájení insolventního řízení, vstup Příjemce do likvidace, změnu statutárního orgánu nebo jeho člena, změna názvu Příjemce, </w:t>
      </w:r>
      <w:r w:rsidRPr="0076212E">
        <w:rPr>
          <w:rFonts w:ascii="Times New Roman" w:hAnsi="Times New Roman" w:cs="Times New Roman"/>
          <w:spacing w:val="-5"/>
          <w:w w:val="105"/>
          <w:lang w:val="cs-CZ"/>
        </w:rPr>
        <w:t>změnu bankovního spojení příjemce, změnu sídla či adresy Příjemce.</w:t>
      </w:r>
    </w:p>
    <w:p w:rsidR="009712C0" w:rsidRPr="0076212E" w:rsidRDefault="009712C0" w:rsidP="0076212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pacing w:val="1"/>
          <w:w w:val="105"/>
          <w:lang w:val="cs-CZ"/>
        </w:rPr>
      </w:pPr>
      <w:r w:rsidRPr="0076212E">
        <w:rPr>
          <w:rFonts w:ascii="Times New Roman" w:hAnsi="Times New Roman" w:cs="Times New Roman"/>
          <w:spacing w:val="1"/>
          <w:w w:val="105"/>
          <w:lang w:val="cs-CZ"/>
        </w:rPr>
        <w:t xml:space="preserve">V případě, že v době do 5 let ode dne poskytnutí dotace dojde k přeměně Příjemce ve </w:t>
      </w:r>
      <w:r w:rsidRPr="0076212E">
        <w:rPr>
          <w:rFonts w:ascii="Times New Roman" w:hAnsi="Times New Roman" w:cs="Times New Roman"/>
          <w:spacing w:val="2"/>
          <w:w w:val="105"/>
          <w:lang w:val="cs-CZ"/>
        </w:rPr>
        <w:t xml:space="preserve">smyslu §174 a násl. zákona 89/212Sb., Občanský zákoník, je příjemce povinen tuto </w:t>
      </w:r>
      <w:r w:rsidRPr="0076212E">
        <w:rPr>
          <w:rFonts w:ascii="Times New Roman" w:hAnsi="Times New Roman" w:cs="Times New Roman"/>
          <w:w w:val="105"/>
          <w:lang w:val="cs-CZ"/>
        </w:rPr>
        <w:t>skutečnost sdělit Poskytovateli nejpozději do 10dnů ode dne účinnosti přeměny.</w:t>
      </w:r>
    </w:p>
    <w:p w:rsidR="009712C0" w:rsidRDefault="009712C0" w:rsidP="0076212E">
      <w:pPr>
        <w:pStyle w:val="NoSpacing"/>
        <w:rPr>
          <w:rFonts w:ascii="Times New Roman" w:hAnsi="Times New Roman" w:cs="Times New Roman"/>
          <w:b/>
          <w:bCs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IV. </w:t>
      </w: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  <w:t>Vyúčtování dotace</w:t>
      </w:r>
    </w:p>
    <w:p w:rsidR="009712C0" w:rsidRPr="0076212E" w:rsidRDefault="009712C0" w:rsidP="0076212E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pacing w:val="-7"/>
          <w:w w:val="105"/>
          <w:lang w:val="cs-CZ"/>
        </w:rPr>
      </w:pPr>
      <w:r w:rsidRPr="0076212E">
        <w:rPr>
          <w:rFonts w:ascii="Times New Roman" w:hAnsi="Times New Roman" w:cs="Times New Roman"/>
          <w:spacing w:val="-7"/>
          <w:w w:val="105"/>
          <w:lang w:val="cs-CZ"/>
        </w:rPr>
        <w:t xml:space="preserve">Příjemce je povinen předložit poskytovateli vyúčtování dotace nejpozději do 60 dnů ode dne </w:t>
      </w:r>
      <w:r w:rsidRPr="0076212E">
        <w:rPr>
          <w:rFonts w:ascii="Times New Roman" w:hAnsi="Times New Roman" w:cs="Times New Roman"/>
          <w:w w:val="105"/>
          <w:lang w:val="cs-CZ"/>
        </w:rPr>
        <w:t>termínu určeného pro naplnění účelu dotace dle I. odst.3 této smlouvy.</w:t>
      </w:r>
    </w:p>
    <w:p w:rsidR="009712C0" w:rsidRPr="0076212E" w:rsidRDefault="009712C0" w:rsidP="0076212E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pacing w:val="-2"/>
          <w:w w:val="105"/>
          <w:lang w:val="cs-CZ"/>
        </w:rPr>
      </w:pPr>
      <w:r w:rsidRPr="0076212E">
        <w:rPr>
          <w:rFonts w:ascii="Times New Roman" w:hAnsi="Times New Roman" w:cs="Times New Roman"/>
          <w:spacing w:val="-2"/>
          <w:w w:val="105"/>
          <w:lang w:val="cs-CZ"/>
        </w:rPr>
        <w:t xml:space="preserve">Příjemce je povinen předložit Poskytovateli vyúčtování dotace, a to tak, aby z něj bylo jednoznačné, na jaký účel byla dotace použita a použití dotace doložit kopiemi účetních </w:t>
      </w:r>
      <w:r w:rsidRPr="0076212E">
        <w:rPr>
          <w:rFonts w:ascii="Times New Roman" w:hAnsi="Times New Roman" w:cs="Times New Roman"/>
          <w:w w:val="105"/>
          <w:lang w:val="cs-CZ"/>
        </w:rPr>
        <w:t>dokladů.</w:t>
      </w:r>
    </w:p>
    <w:p w:rsidR="009712C0" w:rsidRPr="0076212E" w:rsidRDefault="009712C0" w:rsidP="0076212E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Poskytovatel zkontroluje předložené vyúčtování poskytnuté dotace a písemný souhlas </w:t>
      </w:r>
      <w:r w:rsidRPr="0076212E">
        <w:rPr>
          <w:rFonts w:ascii="Times New Roman" w:hAnsi="Times New Roman" w:cs="Times New Roman"/>
          <w:spacing w:val="3"/>
          <w:w w:val="105"/>
          <w:lang w:val="cs-CZ"/>
        </w:rPr>
        <w:t xml:space="preserve">(včetně elektronického) s vyúčtováním zašle příjemci do 30dnů ode dne předložení </w:t>
      </w:r>
      <w:r w:rsidRPr="0076212E">
        <w:rPr>
          <w:rFonts w:ascii="Times New Roman" w:hAnsi="Times New Roman" w:cs="Times New Roman"/>
          <w:spacing w:val="-6"/>
          <w:w w:val="105"/>
          <w:lang w:val="cs-CZ"/>
        </w:rPr>
        <w:t>vyúčtování příjemcem.</w:t>
      </w:r>
    </w:p>
    <w:p w:rsidR="009712C0" w:rsidRPr="0076212E" w:rsidRDefault="009712C0" w:rsidP="0076212E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w w:val="105"/>
          <w:lang w:val="cs-CZ"/>
        </w:rPr>
      </w:pPr>
      <w:r w:rsidRPr="0076212E">
        <w:rPr>
          <w:rFonts w:ascii="Times New Roman" w:hAnsi="Times New Roman" w:cs="Times New Roman"/>
          <w:w w:val="105"/>
          <w:lang w:val="cs-CZ"/>
        </w:rPr>
        <w:t xml:space="preserve">Dotace nesmí být použita na úhradu jakýchkoliv sankčních plateb uložených Příjemci (a to </w:t>
      </w:r>
      <w:r w:rsidRPr="0076212E">
        <w:rPr>
          <w:rFonts w:ascii="Times New Roman" w:hAnsi="Times New Roman" w:cs="Times New Roman"/>
          <w:spacing w:val="-7"/>
          <w:w w:val="105"/>
          <w:lang w:val="cs-CZ"/>
        </w:rPr>
        <w:t xml:space="preserve">včetně příslušenství sankcí, např. penále, úroky z prodlení), na nákup alkoholu a tabákových </w:t>
      </w:r>
      <w:r w:rsidRPr="0076212E">
        <w:rPr>
          <w:rFonts w:ascii="Times New Roman" w:hAnsi="Times New Roman" w:cs="Times New Roman"/>
          <w:spacing w:val="2"/>
          <w:w w:val="105"/>
          <w:lang w:val="cs-CZ"/>
        </w:rPr>
        <w:t xml:space="preserve">výrobků, na pořízení dlouhodobého majetku s dobou použitelnosti delší než jeden rok a </w:t>
      </w:r>
      <w:r w:rsidRPr="0076212E">
        <w:rPr>
          <w:rFonts w:ascii="Times New Roman" w:hAnsi="Times New Roman" w:cs="Times New Roman"/>
          <w:w w:val="105"/>
          <w:lang w:val="cs-CZ"/>
        </w:rPr>
        <w:t xml:space="preserve">v ocenění převyšujícím 40.000 Kč u dlouhodobého hmotného majetku a 60 000 Kč u </w:t>
      </w:r>
      <w:r w:rsidRPr="0076212E">
        <w:rPr>
          <w:rFonts w:ascii="Times New Roman" w:hAnsi="Times New Roman" w:cs="Times New Roman"/>
          <w:spacing w:val="-1"/>
          <w:w w:val="105"/>
          <w:lang w:val="cs-CZ"/>
        </w:rPr>
        <w:t xml:space="preserve">dlouhodobého nehmotného majetku a na nabytí nemovitého majetku bez ohledu na výši </w:t>
      </w:r>
      <w:r w:rsidRPr="0076212E">
        <w:rPr>
          <w:rFonts w:ascii="Times New Roman" w:hAnsi="Times New Roman" w:cs="Times New Roman"/>
          <w:w w:val="105"/>
          <w:lang w:val="cs-CZ"/>
        </w:rPr>
        <w:t>kupní ceny.</w:t>
      </w: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V. </w:t>
      </w: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  <w:t>Odstoupení od smlouvy a její změna</w:t>
      </w:r>
    </w:p>
    <w:p w:rsidR="009712C0" w:rsidRPr="0076212E" w:rsidRDefault="009712C0" w:rsidP="0076212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pacing w:val="-3"/>
          <w:lang w:val="cs-CZ"/>
        </w:rPr>
      </w:pPr>
      <w:r w:rsidRPr="0076212E">
        <w:rPr>
          <w:rFonts w:ascii="Times New Roman" w:hAnsi="Times New Roman" w:cs="Times New Roman"/>
          <w:spacing w:val="-3"/>
          <w:w w:val="105"/>
          <w:lang w:val="cs-CZ"/>
        </w:rPr>
        <w:t>Poskytovatel je oprávněn od této smlouvy odstoupit:</w:t>
      </w:r>
    </w:p>
    <w:p w:rsidR="009712C0" w:rsidRPr="0076212E" w:rsidRDefault="009712C0" w:rsidP="0076212E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pacing w:val="1"/>
          <w:w w:val="105"/>
          <w:lang w:val="cs-CZ"/>
        </w:rPr>
      </w:pPr>
      <w:r w:rsidRPr="0076212E">
        <w:rPr>
          <w:rFonts w:ascii="Times New Roman" w:hAnsi="Times New Roman" w:cs="Times New Roman"/>
          <w:spacing w:val="1"/>
          <w:w w:val="105"/>
          <w:lang w:val="cs-CZ"/>
        </w:rPr>
        <w:t>v případě podstatného porušení smlouvy Příjemcem;</w:t>
      </w:r>
    </w:p>
    <w:p w:rsidR="009712C0" w:rsidRPr="0076212E" w:rsidRDefault="009712C0" w:rsidP="0076212E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pacing w:val="-3"/>
          <w:w w:val="105"/>
          <w:lang w:val="cs-CZ"/>
        </w:rPr>
      </w:pPr>
      <w:r w:rsidRPr="0076212E">
        <w:rPr>
          <w:rFonts w:ascii="Times New Roman" w:hAnsi="Times New Roman" w:cs="Times New Roman"/>
          <w:spacing w:val="-3"/>
          <w:w w:val="105"/>
          <w:lang w:val="cs-CZ"/>
        </w:rPr>
        <w:t xml:space="preserve">pokud Příjemce použije dotaci v rozporu s účelem uvedeným v čl.I. odst. 3 této </w:t>
      </w:r>
      <w:r w:rsidRPr="0076212E">
        <w:rPr>
          <w:rFonts w:ascii="Times New Roman" w:hAnsi="Times New Roman" w:cs="Times New Roman"/>
          <w:w w:val="105"/>
          <w:lang w:val="cs-CZ"/>
        </w:rPr>
        <w:t>smlouvy;</w:t>
      </w:r>
    </w:p>
    <w:p w:rsidR="009712C0" w:rsidRPr="0076212E" w:rsidRDefault="009712C0" w:rsidP="0076212E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pacing w:val="-3"/>
          <w:w w:val="105"/>
          <w:lang w:val="cs-CZ"/>
        </w:rPr>
      </w:pPr>
      <w:r w:rsidRPr="0076212E">
        <w:rPr>
          <w:rFonts w:ascii="Times New Roman" w:hAnsi="Times New Roman" w:cs="Times New Roman"/>
          <w:spacing w:val="-3"/>
          <w:w w:val="105"/>
          <w:lang w:val="cs-CZ"/>
        </w:rPr>
        <w:t xml:space="preserve">Pokud se údaje, které Příjemce uvedl v žádosti o poskytnutí dotace anebo údaje </w:t>
      </w:r>
      <w:r w:rsidRPr="0076212E">
        <w:rPr>
          <w:rFonts w:ascii="Times New Roman" w:hAnsi="Times New Roman" w:cs="Times New Roman"/>
          <w:spacing w:val="-1"/>
          <w:w w:val="105"/>
          <w:lang w:val="cs-CZ"/>
        </w:rPr>
        <w:t xml:space="preserve">uvedené v této smlouvě ukážou jako nepravdivé nebo neúplné, pokud tyto údaje </w:t>
      </w:r>
      <w:r w:rsidRPr="0076212E">
        <w:rPr>
          <w:rFonts w:ascii="Times New Roman" w:hAnsi="Times New Roman" w:cs="Times New Roman"/>
          <w:w w:val="105"/>
          <w:lang w:val="cs-CZ"/>
        </w:rPr>
        <w:t>mohly mít vliv na poskytnutí dotace či na rozhodnutí o její výši.</w:t>
      </w:r>
    </w:p>
    <w:p w:rsidR="009712C0" w:rsidRPr="0076212E" w:rsidRDefault="009712C0" w:rsidP="0076212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lang w:val="cs-CZ"/>
        </w:rPr>
      </w:pPr>
      <w:r w:rsidRPr="0076212E">
        <w:rPr>
          <w:rFonts w:ascii="Times New Roman" w:hAnsi="Times New Roman" w:cs="Times New Roman"/>
          <w:spacing w:val="2"/>
          <w:lang w:val="cs-CZ"/>
        </w:rPr>
        <w:t xml:space="preserve">Odstoupení od smlouvy je účinné dnem, kdy bylo písemné sdělené o odstoupení doručeno </w:t>
      </w:r>
      <w:r w:rsidRPr="0076212E">
        <w:rPr>
          <w:rFonts w:ascii="Times New Roman" w:hAnsi="Times New Roman" w:cs="Times New Roman"/>
          <w:lang w:val="cs-CZ"/>
        </w:rPr>
        <w:t>druhé smluvní straně.</w:t>
      </w:r>
    </w:p>
    <w:p w:rsidR="009712C0" w:rsidRPr="0076212E" w:rsidRDefault="009712C0" w:rsidP="0076212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lang w:val="cs-CZ"/>
        </w:rPr>
      </w:pPr>
      <w:r w:rsidRPr="0076212E">
        <w:rPr>
          <w:rFonts w:ascii="Times New Roman" w:hAnsi="Times New Roman" w:cs="Times New Roman"/>
          <w:spacing w:val="11"/>
          <w:lang w:val="cs-CZ"/>
        </w:rPr>
        <w:t xml:space="preserve">Smluvní strany se můžou dohodnout na jakékoliv změně této smlouvy, a to kdykoliv </w:t>
      </w:r>
      <w:r w:rsidRPr="0076212E">
        <w:rPr>
          <w:rFonts w:ascii="Times New Roman" w:hAnsi="Times New Roman" w:cs="Times New Roman"/>
          <w:lang w:val="cs-CZ"/>
        </w:rPr>
        <w:t>v průběhu její platnosti.</w:t>
      </w:r>
    </w:p>
    <w:p w:rsidR="009712C0" w:rsidRDefault="009712C0" w:rsidP="0076212E">
      <w:pPr>
        <w:pStyle w:val="NoSpacing"/>
        <w:rPr>
          <w:rFonts w:ascii="Times New Roman" w:hAnsi="Times New Roman" w:cs="Times New Roman"/>
          <w:b/>
          <w:bCs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VI. </w:t>
      </w:r>
      <w:r w:rsidRPr="0076212E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  <w:t>Sankce</w:t>
      </w:r>
    </w:p>
    <w:p w:rsidR="009712C0" w:rsidRPr="0076212E" w:rsidRDefault="009712C0" w:rsidP="0076212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pacing w:val="7"/>
          <w:lang w:val="cs-CZ"/>
        </w:rPr>
      </w:pPr>
      <w:r w:rsidRPr="0076212E">
        <w:rPr>
          <w:rFonts w:ascii="Times New Roman" w:hAnsi="Times New Roman" w:cs="Times New Roman"/>
          <w:spacing w:val="7"/>
          <w:lang w:val="cs-CZ"/>
        </w:rPr>
        <w:t xml:space="preserve">V případě porušení rozpočtové kázně ze strany Příjemce bude Poskytovatel postupovat </w:t>
      </w:r>
      <w:r w:rsidRPr="0076212E">
        <w:rPr>
          <w:rFonts w:ascii="Times New Roman" w:hAnsi="Times New Roman" w:cs="Times New Roman"/>
          <w:lang w:val="cs-CZ"/>
        </w:rPr>
        <w:t>v souladu s §22 zákona č. 250/2000Sb., o rozpočtových pravidlech územních rozpočtů (dále jen „zákon") a je oprávněn uložit Příjemci odvod za porušení rozpočtové kázně.</w:t>
      </w:r>
    </w:p>
    <w:p w:rsidR="009712C0" w:rsidRPr="0076212E" w:rsidRDefault="009712C0" w:rsidP="0076212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pacing w:val="10"/>
          <w:lang w:val="cs-CZ"/>
        </w:rPr>
      </w:pPr>
      <w:r w:rsidRPr="0076212E">
        <w:rPr>
          <w:rFonts w:ascii="Times New Roman" w:hAnsi="Times New Roman" w:cs="Times New Roman"/>
          <w:spacing w:val="10"/>
          <w:lang w:val="cs-CZ"/>
        </w:rPr>
        <w:t xml:space="preserve">Porušení povinnosti Příjemce uvedené v Č. III. odst. 6. a 7. a porušení povinností </w:t>
      </w:r>
      <w:r w:rsidRPr="0076212E">
        <w:rPr>
          <w:rFonts w:ascii="Times New Roman" w:hAnsi="Times New Roman" w:cs="Times New Roman"/>
          <w:spacing w:val="1"/>
          <w:lang w:val="cs-CZ"/>
        </w:rPr>
        <w:t xml:space="preserve">administrativního nebo formálního charakteru (např. odevzdání dokladů a vyúčtování se </w:t>
      </w:r>
      <w:r w:rsidRPr="0076212E">
        <w:rPr>
          <w:rFonts w:ascii="Times New Roman" w:hAnsi="Times New Roman" w:cs="Times New Roman"/>
          <w:spacing w:val="7"/>
          <w:lang w:val="cs-CZ"/>
        </w:rPr>
        <w:t xml:space="preserve">zpožděním ne delším než 5 pracovních dnů, zřejmé chyby v psaní a počtech atd.) je </w:t>
      </w:r>
      <w:r w:rsidRPr="0076212E">
        <w:rPr>
          <w:rFonts w:ascii="Times New Roman" w:hAnsi="Times New Roman" w:cs="Times New Roman"/>
          <w:spacing w:val="5"/>
          <w:lang w:val="cs-CZ"/>
        </w:rPr>
        <w:t xml:space="preserve">považováno za méně závažné porušení rozpočtové kázně ve smyslu §10a odst. 6 zákona; </w:t>
      </w:r>
      <w:r w:rsidRPr="0076212E">
        <w:rPr>
          <w:rFonts w:ascii="Times New Roman" w:hAnsi="Times New Roman" w:cs="Times New Roman"/>
          <w:spacing w:val="8"/>
          <w:lang w:val="cs-CZ"/>
        </w:rPr>
        <w:t xml:space="preserve">v případě porušení těchto povinností uloží Poskytovatel Příjemci odvod z porušení </w:t>
      </w:r>
      <w:r w:rsidRPr="0076212E">
        <w:rPr>
          <w:rFonts w:ascii="Times New Roman" w:hAnsi="Times New Roman" w:cs="Times New Roman"/>
          <w:spacing w:val="-1"/>
          <w:lang w:val="cs-CZ"/>
        </w:rPr>
        <w:t>rozpočtové kázně ve výši 1%</w:t>
      </w:r>
      <w:r w:rsidRPr="0076212E">
        <w:rPr>
          <w:rFonts w:ascii="Times New Roman" w:hAnsi="Times New Roman" w:cs="Times New Roman"/>
          <w:b/>
          <w:bCs/>
          <w:spacing w:val="-1"/>
          <w:lang w:val="cs-CZ"/>
        </w:rPr>
        <w:t xml:space="preserve"> </w:t>
      </w:r>
      <w:r w:rsidRPr="0076212E">
        <w:rPr>
          <w:rFonts w:ascii="Times New Roman" w:hAnsi="Times New Roman" w:cs="Times New Roman"/>
          <w:spacing w:val="-1"/>
          <w:lang w:val="cs-CZ"/>
        </w:rPr>
        <w:t>z poskytnuté dotace.</w:t>
      </w:r>
    </w:p>
    <w:p w:rsidR="009712C0" w:rsidRDefault="009712C0" w:rsidP="0076212E">
      <w:pPr>
        <w:pStyle w:val="NoSpacing"/>
        <w:rPr>
          <w:rFonts w:ascii="Times New Roman" w:hAnsi="Times New Roman" w:cs="Times New Roman"/>
          <w:b/>
          <w:bCs/>
          <w:w w:val="125"/>
          <w:lang w:val="cs-CZ"/>
        </w:rPr>
      </w:pPr>
    </w:p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lang w:val="cs-CZ"/>
        </w:rPr>
      </w:pPr>
    </w:p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lang w:val="cs-CZ"/>
        </w:rPr>
      </w:pPr>
    </w:p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lang w:val="cs-CZ"/>
        </w:rPr>
      </w:pPr>
    </w:p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lang w:val="cs-CZ"/>
        </w:rPr>
      </w:pPr>
    </w:p>
    <w:p w:rsidR="009712C0" w:rsidRDefault="009712C0" w:rsidP="0076212E">
      <w:pPr>
        <w:pStyle w:val="NoSpacing"/>
        <w:jc w:val="center"/>
        <w:rPr>
          <w:rFonts w:ascii="Times New Roman" w:hAnsi="Times New Roman" w:cs="Times New Roman"/>
          <w:b/>
          <w:bCs/>
          <w:w w:val="125"/>
          <w:lang w:val="cs-CZ"/>
        </w:rPr>
      </w:pPr>
    </w:p>
    <w:p w:rsidR="009712C0" w:rsidRPr="0076212E" w:rsidRDefault="009712C0" w:rsidP="0076212E">
      <w:pPr>
        <w:pStyle w:val="NoSpacing"/>
        <w:jc w:val="center"/>
        <w:rPr>
          <w:rFonts w:ascii="Times New Roman" w:hAnsi="Times New Roman" w:cs="Times New Roman"/>
          <w:w w:val="125"/>
          <w:lang w:val="cs-CZ"/>
        </w:rPr>
      </w:pPr>
      <w:r w:rsidRPr="0076212E">
        <w:rPr>
          <w:rFonts w:ascii="Times New Roman" w:hAnsi="Times New Roman" w:cs="Times New Roman"/>
          <w:b/>
          <w:bCs/>
          <w:w w:val="125"/>
          <w:lang w:val="cs-CZ"/>
        </w:rPr>
        <w:t>VII.</w:t>
      </w:r>
      <w:r w:rsidRPr="0076212E">
        <w:rPr>
          <w:rFonts w:ascii="Times New Roman" w:hAnsi="Times New Roman" w:cs="Times New Roman"/>
          <w:w w:val="125"/>
          <w:lang w:val="cs-CZ"/>
        </w:rPr>
        <w:t xml:space="preserve"> </w:t>
      </w:r>
      <w:r w:rsidRPr="0076212E">
        <w:rPr>
          <w:rFonts w:ascii="Times New Roman" w:hAnsi="Times New Roman" w:cs="Times New Roman"/>
          <w:w w:val="125"/>
          <w:lang w:val="cs-CZ"/>
        </w:rPr>
        <w:br/>
      </w:r>
      <w:r w:rsidRPr="0076212E">
        <w:rPr>
          <w:rFonts w:ascii="Times New Roman" w:hAnsi="Times New Roman" w:cs="Times New Roman"/>
          <w:b/>
          <w:bCs/>
          <w:lang w:val="cs-CZ"/>
        </w:rPr>
        <w:t>Závěrečná ustanovení</w:t>
      </w:r>
    </w:p>
    <w:p w:rsidR="009712C0" w:rsidRPr="0076212E" w:rsidRDefault="009712C0" w:rsidP="0076212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pacing w:val="3"/>
          <w:lang w:val="cs-CZ"/>
        </w:rPr>
      </w:pPr>
      <w:r w:rsidRPr="0076212E">
        <w:rPr>
          <w:rFonts w:ascii="Times New Roman" w:hAnsi="Times New Roman" w:cs="Times New Roman"/>
          <w:spacing w:val="3"/>
          <w:lang w:val="cs-CZ"/>
        </w:rPr>
        <w:t>Tato smlouva nabývá platnosti účinnosti dnem podpisu poslední ze smluvních stran.</w:t>
      </w:r>
    </w:p>
    <w:p w:rsidR="009712C0" w:rsidRPr="0076212E" w:rsidRDefault="009712C0" w:rsidP="0076212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pacing w:val="5"/>
          <w:lang w:val="cs-CZ"/>
        </w:rPr>
      </w:pPr>
      <w:r w:rsidRPr="0076212E">
        <w:rPr>
          <w:rFonts w:ascii="Times New Roman" w:hAnsi="Times New Roman" w:cs="Times New Roman"/>
          <w:spacing w:val="5"/>
          <w:lang w:val="cs-CZ"/>
        </w:rPr>
        <w:t xml:space="preserve">Právní vztahy touto smlouvou neupravené se řídí příslušnými ustanoveními zákona č. </w:t>
      </w:r>
      <w:r w:rsidRPr="0076212E">
        <w:rPr>
          <w:rFonts w:ascii="Times New Roman" w:hAnsi="Times New Roman" w:cs="Times New Roman"/>
          <w:lang w:val="cs-CZ"/>
        </w:rPr>
        <w:t>500/2004Sb., správní řád.</w:t>
      </w:r>
    </w:p>
    <w:p w:rsidR="009712C0" w:rsidRPr="0076212E" w:rsidRDefault="009712C0" w:rsidP="0076212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lang w:val="cs-CZ"/>
        </w:rPr>
      </w:pPr>
      <w:r w:rsidRPr="0076212E">
        <w:rPr>
          <w:rFonts w:ascii="Times New Roman" w:hAnsi="Times New Roman" w:cs="Times New Roman"/>
          <w:lang w:val="cs-CZ"/>
        </w:rPr>
        <w:t xml:space="preserve">Tato smlouva může být měněna pouze písemnými dodatky; dodatek se neuzavírá v případě </w:t>
      </w:r>
      <w:r w:rsidRPr="0076212E">
        <w:rPr>
          <w:rFonts w:ascii="Times New Roman" w:hAnsi="Times New Roman" w:cs="Times New Roman"/>
          <w:spacing w:val="3"/>
          <w:lang w:val="cs-CZ"/>
        </w:rPr>
        <w:t xml:space="preserve">změny názvu Příjemce, statutárního zástupce, sídla či bankovního účtu kteréhokoliv ze </w:t>
      </w:r>
      <w:r w:rsidRPr="0076212E">
        <w:rPr>
          <w:rFonts w:ascii="Times New Roman" w:hAnsi="Times New Roman" w:cs="Times New Roman"/>
          <w:spacing w:val="-3"/>
          <w:lang w:val="cs-CZ"/>
        </w:rPr>
        <w:t xml:space="preserve">smluvních stran </w:t>
      </w:r>
      <w:r>
        <w:rPr>
          <w:rFonts w:ascii="Times New Roman" w:hAnsi="Times New Roman" w:cs="Times New Roman"/>
          <w:spacing w:val="-3"/>
          <w:lang w:val="cs-CZ"/>
        </w:rPr>
        <w:t xml:space="preserve">– </w:t>
      </w:r>
      <w:bookmarkStart w:id="0" w:name="_GoBack"/>
      <w:bookmarkEnd w:id="0"/>
      <w:r w:rsidRPr="0076212E">
        <w:rPr>
          <w:rFonts w:ascii="Times New Roman" w:hAnsi="Times New Roman" w:cs="Times New Roman"/>
          <w:spacing w:val="-3"/>
          <w:lang w:val="cs-CZ"/>
        </w:rPr>
        <w:t xml:space="preserve"> v takovém případě postačí písemné oznámení o změně, v případě změny </w:t>
      </w:r>
      <w:r w:rsidRPr="0076212E">
        <w:rPr>
          <w:rFonts w:ascii="Times New Roman" w:hAnsi="Times New Roman" w:cs="Times New Roman"/>
          <w:lang w:val="cs-CZ"/>
        </w:rPr>
        <w:t>bankovního účtu musí být písemné oznámení doloženo kopií smlouvy o zřízení účtu.</w:t>
      </w:r>
    </w:p>
    <w:p w:rsidR="009712C0" w:rsidRPr="0076212E" w:rsidRDefault="009712C0" w:rsidP="0076212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pacing w:val="4"/>
          <w:lang w:val="cs-CZ"/>
        </w:rPr>
      </w:pPr>
      <w:r w:rsidRPr="0076212E">
        <w:rPr>
          <w:rFonts w:ascii="Times New Roman" w:hAnsi="Times New Roman" w:cs="Times New Roman"/>
          <w:spacing w:val="4"/>
          <w:lang w:val="cs-CZ"/>
        </w:rPr>
        <w:t xml:space="preserve">Tato smlouva je vyhotovena ve čtyřech stejnopisech, dva z nich obdrží Poskytovatel a dva </w:t>
      </w:r>
      <w:r w:rsidRPr="0076212E">
        <w:rPr>
          <w:rFonts w:ascii="Times New Roman" w:hAnsi="Times New Roman" w:cs="Times New Roman"/>
          <w:lang w:val="cs-CZ"/>
        </w:rPr>
        <w:t>z nich obdrží Příjemce.</w:t>
      </w:r>
    </w:p>
    <w:p w:rsidR="009712C0" w:rsidRPr="0076212E" w:rsidRDefault="009712C0" w:rsidP="0076212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pacing w:val="-1"/>
          <w:lang w:val="cs-CZ"/>
        </w:rPr>
      </w:pPr>
      <w:r w:rsidRPr="0076212E">
        <w:rPr>
          <w:rFonts w:ascii="Times New Roman" w:hAnsi="Times New Roman" w:cs="Times New Roman"/>
          <w:spacing w:val="-1"/>
          <w:lang w:val="cs-CZ"/>
        </w:rPr>
        <w:t xml:space="preserve">Příjemce bere na vědomí, že Poskytovatel pro realizaci svých bezhotovostních plateb může </w:t>
      </w:r>
      <w:r w:rsidRPr="0076212E">
        <w:rPr>
          <w:rFonts w:ascii="Times New Roman" w:hAnsi="Times New Roman" w:cs="Times New Roman"/>
          <w:spacing w:val="3"/>
          <w:lang w:val="cs-CZ"/>
        </w:rPr>
        <w:t xml:space="preserve">používat transparentní příjmový a výdajový bankovní účet a v této souvislosti Příjemce </w:t>
      </w:r>
      <w:r w:rsidRPr="0076212E">
        <w:rPr>
          <w:rFonts w:ascii="Times New Roman" w:hAnsi="Times New Roman" w:cs="Times New Roman"/>
          <w:spacing w:val="-3"/>
          <w:lang w:val="cs-CZ"/>
        </w:rPr>
        <w:t xml:space="preserve">uděluje souhlas se zveřejněním elektronického obrazu této smlouvy na webových stránkách </w:t>
      </w:r>
      <w:r w:rsidRPr="0076212E">
        <w:rPr>
          <w:rFonts w:ascii="Times New Roman" w:hAnsi="Times New Roman" w:cs="Times New Roman"/>
          <w:lang w:val="cs-CZ"/>
        </w:rPr>
        <w:t>Poskytovatele včetně podpisů ke smlouvě připojených.</w:t>
      </w:r>
    </w:p>
    <w:p w:rsidR="009712C0" w:rsidRDefault="009712C0" w:rsidP="0076212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lang w:val="cs-CZ"/>
        </w:rPr>
      </w:pPr>
      <w:r w:rsidRPr="0076212E">
        <w:rPr>
          <w:rFonts w:ascii="Times New Roman" w:hAnsi="Times New Roman" w:cs="Times New Roman"/>
          <w:lang w:val="cs-CZ"/>
        </w:rPr>
        <w:t xml:space="preserve">Svazek obcí - Region Dolní Berounka ve smyslu §41 odst.l zákona č.128/2000Sb., o obcích, </w:t>
      </w:r>
      <w:r w:rsidRPr="0076212E">
        <w:rPr>
          <w:rFonts w:ascii="Times New Roman" w:hAnsi="Times New Roman" w:cs="Times New Roman"/>
          <w:spacing w:val="-3"/>
          <w:lang w:val="cs-CZ"/>
        </w:rPr>
        <w:t xml:space="preserve">ve znění pozdějších předpisů osvědčuje, že poskytnutí dotace bylo schváleno na 5. veřejném </w:t>
      </w:r>
      <w:r w:rsidRPr="0076212E">
        <w:rPr>
          <w:rFonts w:ascii="Times New Roman" w:hAnsi="Times New Roman" w:cs="Times New Roman"/>
          <w:lang w:val="cs-CZ"/>
        </w:rPr>
        <w:t xml:space="preserve">zasedání Svazku obcí - Region Dolní Berounka dne 20.12.2016, na základě Usnesení č.5) </w:t>
      </w:r>
      <w:r w:rsidRPr="0076212E">
        <w:rPr>
          <w:rFonts w:ascii="Times New Roman" w:hAnsi="Times New Roman" w:cs="Times New Roman"/>
          <w:spacing w:val="-2"/>
          <w:lang w:val="cs-CZ"/>
        </w:rPr>
        <w:t xml:space="preserve">rozpočet na rok 2017 - tak, jak to vyžaduje §102 odst. 3 zákona č. 128/2000Sb., o obcích, ve </w:t>
      </w:r>
      <w:r w:rsidRPr="0076212E">
        <w:rPr>
          <w:rFonts w:ascii="Times New Roman" w:hAnsi="Times New Roman" w:cs="Times New Roman"/>
          <w:lang w:val="cs-CZ"/>
        </w:rPr>
        <w:t>znění pozdějších předpisů, čímž je splněna podmínka platnosti tohoto právního jednání.</w:t>
      </w:r>
    </w:p>
    <w:p w:rsidR="009712C0" w:rsidRDefault="009712C0" w:rsidP="0076212E">
      <w:pPr>
        <w:pStyle w:val="NoSpacing"/>
        <w:jc w:val="both"/>
        <w:rPr>
          <w:rFonts w:ascii="Times New Roman" w:hAnsi="Times New Roman" w:cs="Times New Roman"/>
          <w:lang w:val="cs-CZ"/>
        </w:rPr>
      </w:pPr>
    </w:p>
    <w:p w:rsidR="009712C0" w:rsidRDefault="009712C0" w:rsidP="0076212E">
      <w:pPr>
        <w:pStyle w:val="NoSpacing"/>
        <w:jc w:val="both"/>
        <w:rPr>
          <w:rFonts w:ascii="Times New Roman" w:hAnsi="Times New Roman" w:cs="Times New Roman"/>
          <w:lang w:val="cs-CZ"/>
        </w:rPr>
      </w:pPr>
    </w:p>
    <w:tbl>
      <w:tblPr>
        <w:tblW w:w="9600" w:type="dxa"/>
        <w:tblInd w:w="449" w:type="dxa"/>
        <w:tblLook w:val="00A0"/>
      </w:tblPr>
      <w:tblGrid>
        <w:gridCol w:w="4219"/>
        <w:gridCol w:w="992"/>
        <w:gridCol w:w="4389"/>
      </w:tblGrid>
      <w:tr w:rsidR="009712C0" w:rsidRPr="00561333">
        <w:tc>
          <w:tcPr>
            <w:tcW w:w="421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561333">
              <w:rPr>
                <w:rFonts w:ascii="Times New Roman" w:hAnsi="Times New Roman" w:cs="Times New Roman"/>
                <w:b/>
                <w:bCs/>
                <w:lang w:val="cs-CZ"/>
              </w:rPr>
              <w:t>Svatá Ludmila 1100 let, z. s.</w:t>
            </w: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Tetín, dne:</w:t>
            </w:r>
            <w:r>
              <w:rPr>
                <w:rFonts w:ascii="Times New Roman" w:hAnsi="Times New Roman" w:cs="Times New Roman"/>
                <w:lang w:val="cs-CZ"/>
              </w:rPr>
              <w:t xml:space="preserve"> 28.3. 2018</w:t>
            </w:r>
          </w:p>
        </w:tc>
        <w:tc>
          <w:tcPr>
            <w:tcW w:w="992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38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561333">
              <w:rPr>
                <w:rFonts w:ascii="Times New Roman" w:hAnsi="Times New Roman" w:cs="Times New Roman"/>
                <w:b/>
                <w:bCs/>
                <w:lang w:val="cs-CZ"/>
              </w:rPr>
              <w:t>Svazek obcí – Region Dolní Berounka</w:t>
            </w: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Karlštejn, dne:</w:t>
            </w:r>
            <w:r>
              <w:rPr>
                <w:rFonts w:ascii="Times New Roman" w:hAnsi="Times New Roman" w:cs="Times New Roman"/>
                <w:lang w:val="cs-CZ"/>
              </w:rPr>
              <w:t xml:space="preserve"> 8.3. 2018</w:t>
            </w:r>
          </w:p>
        </w:tc>
      </w:tr>
      <w:tr w:rsidR="009712C0" w:rsidRPr="00561333">
        <w:tc>
          <w:tcPr>
            <w:tcW w:w="421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u w:val="dash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-----------------------------------------------------</w:t>
            </w: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Ing. Martin Hrdlička, předseda spolku</w:t>
            </w:r>
            <w:r>
              <w:rPr>
                <w:rFonts w:ascii="Times New Roman" w:hAnsi="Times New Roman" w:cs="Times New Roman"/>
                <w:lang w:val="cs-CZ"/>
              </w:rPr>
              <w:t xml:space="preserve"> v.r.</w:t>
            </w:r>
          </w:p>
          <w:p w:rsidR="009712C0" w:rsidRPr="00561333" w:rsidRDefault="009712C0" w:rsidP="00561333">
            <w:pPr>
              <w:pStyle w:val="NoSpacing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Příjemce</w:t>
            </w:r>
          </w:p>
        </w:tc>
        <w:tc>
          <w:tcPr>
            <w:tcW w:w="992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38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u w:val="dash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-----------------------------------------------------</w:t>
            </w: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Vladimír Kabát, předseda svazku</w:t>
            </w:r>
            <w:r>
              <w:rPr>
                <w:rFonts w:ascii="Times New Roman" w:hAnsi="Times New Roman" w:cs="Times New Roman"/>
                <w:lang w:val="cs-CZ"/>
              </w:rPr>
              <w:t xml:space="preserve"> v.r.</w:t>
            </w:r>
          </w:p>
          <w:p w:rsidR="009712C0" w:rsidRPr="00561333" w:rsidRDefault="009712C0" w:rsidP="00561333">
            <w:pPr>
              <w:pStyle w:val="NoSpacing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Poskytovatel</w:t>
            </w:r>
          </w:p>
        </w:tc>
      </w:tr>
      <w:tr w:rsidR="009712C0" w:rsidRPr="00561333">
        <w:tc>
          <w:tcPr>
            <w:tcW w:w="421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u w:val="dash"/>
                <w:lang w:val="cs-CZ"/>
              </w:rPr>
            </w:pP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-----------------------------------------------------</w:t>
            </w:r>
          </w:p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Mgr. Petr Bouška, člen rady spolku</w:t>
            </w:r>
            <w:r>
              <w:rPr>
                <w:rFonts w:ascii="Times New Roman" w:hAnsi="Times New Roman" w:cs="Times New Roman"/>
                <w:lang w:val="cs-CZ"/>
              </w:rPr>
              <w:t xml:space="preserve"> v.r.</w:t>
            </w:r>
          </w:p>
          <w:p w:rsidR="009712C0" w:rsidRPr="00561333" w:rsidRDefault="009712C0" w:rsidP="00561333">
            <w:pPr>
              <w:pStyle w:val="NoSpacing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561333">
              <w:rPr>
                <w:rFonts w:ascii="Times New Roman" w:hAnsi="Times New Roman" w:cs="Times New Roman"/>
                <w:lang w:val="cs-CZ"/>
              </w:rPr>
              <w:t>Příjemce</w:t>
            </w:r>
          </w:p>
        </w:tc>
        <w:tc>
          <w:tcPr>
            <w:tcW w:w="992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38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9712C0" w:rsidRPr="00561333">
        <w:tc>
          <w:tcPr>
            <w:tcW w:w="421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992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389" w:type="dxa"/>
          </w:tcPr>
          <w:p w:rsidR="009712C0" w:rsidRPr="00561333" w:rsidRDefault="009712C0" w:rsidP="00561333">
            <w:pPr>
              <w:pStyle w:val="NoSpacing"/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9712C0" w:rsidRPr="0076212E" w:rsidRDefault="009712C0" w:rsidP="0076212E">
      <w:pPr>
        <w:pStyle w:val="NoSpacing"/>
        <w:jc w:val="both"/>
        <w:rPr>
          <w:rFonts w:ascii="Times New Roman" w:hAnsi="Times New Roman" w:cs="Times New Roman"/>
          <w:lang w:val="cs-CZ"/>
        </w:rPr>
      </w:pPr>
    </w:p>
    <w:sectPr w:rsidR="009712C0" w:rsidRPr="0076212E" w:rsidSect="00FB5779">
      <w:footerReference w:type="default" r:id="rId7"/>
      <w:pgSz w:w="11918" w:h="16854"/>
      <w:pgMar w:top="1452" w:right="1199" w:bottom="646" w:left="125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C0" w:rsidRDefault="009712C0" w:rsidP="0076212E">
      <w:r>
        <w:separator/>
      </w:r>
    </w:p>
  </w:endnote>
  <w:endnote w:type="continuationSeparator" w:id="0">
    <w:p w:rsidR="009712C0" w:rsidRDefault="009712C0" w:rsidP="0076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C0" w:rsidRPr="0076212E" w:rsidRDefault="009712C0">
    <w:pPr>
      <w:pStyle w:val="Footer"/>
      <w:jc w:val="center"/>
      <w:rPr>
        <w:rFonts w:ascii="Times New Roman" w:hAnsi="Times New Roman" w:cs="Times New Roman"/>
      </w:rPr>
    </w:pPr>
    <w:r w:rsidRPr="0076212E">
      <w:rPr>
        <w:rFonts w:ascii="Times New Roman" w:hAnsi="Times New Roman" w:cs="Times New Roman"/>
      </w:rPr>
      <w:fldChar w:fldCharType="begin"/>
    </w:r>
    <w:r w:rsidRPr="0076212E">
      <w:rPr>
        <w:rFonts w:ascii="Times New Roman" w:hAnsi="Times New Roman" w:cs="Times New Roman"/>
      </w:rPr>
      <w:instrText>PAGE   \* MERGEFORMAT</w:instrText>
    </w:r>
    <w:r w:rsidRPr="0076212E">
      <w:rPr>
        <w:rFonts w:ascii="Times New Roman" w:hAnsi="Times New Roman" w:cs="Times New Roman"/>
      </w:rPr>
      <w:fldChar w:fldCharType="separate"/>
    </w:r>
    <w:r w:rsidRPr="00B42C7C">
      <w:rPr>
        <w:rFonts w:ascii="Times New Roman" w:hAnsi="Times New Roman" w:cs="Times New Roman"/>
        <w:noProof/>
        <w:lang w:val="cs-CZ"/>
      </w:rPr>
      <w:t>3</w:t>
    </w:r>
    <w:r w:rsidRPr="0076212E">
      <w:rPr>
        <w:rFonts w:ascii="Times New Roman" w:hAnsi="Times New Roman" w:cs="Times New Roman"/>
      </w:rPr>
      <w:fldChar w:fldCharType="end"/>
    </w:r>
  </w:p>
  <w:p w:rsidR="009712C0" w:rsidRDefault="00971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C0" w:rsidRDefault="009712C0" w:rsidP="0076212E">
      <w:r>
        <w:separator/>
      </w:r>
    </w:p>
  </w:footnote>
  <w:footnote w:type="continuationSeparator" w:id="0">
    <w:p w:rsidR="009712C0" w:rsidRDefault="009712C0" w:rsidP="0076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FEB"/>
    <w:multiLevelType w:val="hybridMultilevel"/>
    <w:tmpl w:val="277ACE38"/>
    <w:lvl w:ilvl="0" w:tplc="CDE2C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881"/>
    <w:multiLevelType w:val="multilevel"/>
    <w:tmpl w:val="2E606090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07E88"/>
    <w:multiLevelType w:val="hybridMultilevel"/>
    <w:tmpl w:val="DACEA10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5A76E8"/>
    <w:multiLevelType w:val="multilevel"/>
    <w:tmpl w:val="FD50686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-7"/>
        <w:w w:val="105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E75BF"/>
    <w:multiLevelType w:val="hybridMultilevel"/>
    <w:tmpl w:val="C2000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98B"/>
    <w:multiLevelType w:val="multilevel"/>
    <w:tmpl w:val="C286445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-2"/>
        <w:w w:val="105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078AF"/>
    <w:multiLevelType w:val="hybridMultilevel"/>
    <w:tmpl w:val="2C4A5A04"/>
    <w:lvl w:ilvl="0" w:tplc="CDE2C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9C6"/>
    <w:multiLevelType w:val="hybridMultilevel"/>
    <w:tmpl w:val="E668A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1FE6"/>
    <w:multiLevelType w:val="multilevel"/>
    <w:tmpl w:val="FEC68D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3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2694B"/>
    <w:multiLevelType w:val="multilevel"/>
    <w:tmpl w:val="7F742A5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-9"/>
        <w:w w:val="105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F220ED"/>
    <w:multiLevelType w:val="multilevel"/>
    <w:tmpl w:val="AD70210A"/>
    <w:lvl w:ilvl="0">
      <w:start w:val="1"/>
      <w:numFmt w:val="lowerLetter"/>
      <w:lvlText w:val="%1)"/>
      <w:lvlJc w:val="left"/>
      <w:pPr>
        <w:tabs>
          <w:tab w:val="decimal" w:pos="633"/>
        </w:tabs>
        <w:ind w:left="993"/>
      </w:pPr>
      <w:rPr>
        <w:rFonts w:ascii="Times New Roman" w:hAnsi="Times New Roman" w:cs="Times New Roman"/>
        <w:strike w:val="0"/>
        <w:color w:val="000000"/>
        <w:spacing w:val="1"/>
        <w:w w:val="105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F93BE9"/>
    <w:multiLevelType w:val="hybridMultilevel"/>
    <w:tmpl w:val="2960D24A"/>
    <w:lvl w:ilvl="0" w:tplc="CDE2C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4789"/>
    <w:multiLevelType w:val="hybridMultilevel"/>
    <w:tmpl w:val="3C6A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B2D00"/>
    <w:multiLevelType w:val="multilevel"/>
    <w:tmpl w:val="2374960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7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6220C"/>
    <w:multiLevelType w:val="multilevel"/>
    <w:tmpl w:val="B9A2099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1"/>
        <w:w w:val="105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86D1D"/>
    <w:multiLevelType w:val="hybridMultilevel"/>
    <w:tmpl w:val="8D8E0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F2E38"/>
    <w:multiLevelType w:val="multilevel"/>
    <w:tmpl w:val="A00A2C0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-1"/>
        <w:w w:val="105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B252F"/>
    <w:multiLevelType w:val="hybridMultilevel"/>
    <w:tmpl w:val="4FBC3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12"/>
  </w:num>
  <w:num w:numId="15">
    <w:abstractNumId w:val="7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17"/>
    <w:rsid w:val="00094E07"/>
    <w:rsid w:val="002C4B9D"/>
    <w:rsid w:val="00561333"/>
    <w:rsid w:val="00653F4B"/>
    <w:rsid w:val="0076212E"/>
    <w:rsid w:val="00770BED"/>
    <w:rsid w:val="0079446D"/>
    <w:rsid w:val="009712C0"/>
    <w:rsid w:val="00B17DE8"/>
    <w:rsid w:val="00B42C7C"/>
    <w:rsid w:val="00C26854"/>
    <w:rsid w:val="00D412FD"/>
    <w:rsid w:val="00DA2DDE"/>
    <w:rsid w:val="00DE1817"/>
    <w:rsid w:val="00F534C2"/>
    <w:rsid w:val="00F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79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2FD"/>
    <w:pPr>
      <w:ind w:left="720"/>
      <w:contextualSpacing/>
    </w:pPr>
  </w:style>
  <w:style w:type="table" w:styleId="TableGrid">
    <w:name w:val="Table Grid"/>
    <w:basedOn w:val="TableNormal"/>
    <w:uiPriority w:val="99"/>
    <w:rsid w:val="00C268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26854"/>
    <w:rPr>
      <w:rFonts w:cs="Calibri"/>
      <w:lang w:val="en-US" w:eastAsia="en-US"/>
    </w:rPr>
  </w:style>
  <w:style w:type="paragraph" w:styleId="Header">
    <w:name w:val="header"/>
    <w:basedOn w:val="Normal"/>
    <w:link w:val="HeaderChar"/>
    <w:uiPriority w:val="99"/>
    <w:rsid w:val="007621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E"/>
  </w:style>
  <w:style w:type="paragraph" w:styleId="Footer">
    <w:name w:val="footer"/>
    <w:basedOn w:val="Normal"/>
    <w:link w:val="FooterChar"/>
    <w:uiPriority w:val="99"/>
    <w:rsid w:val="007621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1071</Words>
  <Characters>6320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 </dc:title>
  <dc:subject/>
  <dc:creator/>
  <cp:keywords/>
  <dc:description/>
  <cp:lastModifiedBy>kabat</cp:lastModifiedBy>
  <cp:revision>2</cp:revision>
  <dcterms:created xsi:type="dcterms:W3CDTF">2018-04-04T18:01:00Z</dcterms:created>
  <dcterms:modified xsi:type="dcterms:W3CDTF">2018-04-04T18:01:00Z</dcterms:modified>
</cp:coreProperties>
</file>